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3F38CC" w:rsidP="003F38CC" w:rsidRDefault="003F38CC" w14:paraId="749C0A86" w14:textId="341ACC11" w14:noSpellErr="1">
      <w:pPr>
        <w:jc w:val="both"/>
        <w:rPr>
          <w:sz w:val="24"/>
          <w:szCs w:val="24"/>
        </w:rPr>
      </w:pPr>
    </w:p>
    <w:p w:rsidR="48B7DFED" w:rsidP="4C874FED" w:rsidRDefault="48B7DFED" w14:paraId="2E9B7980" w14:textId="2F3C170B">
      <w:pPr>
        <w:spacing w:after="200" w:line="276" w:lineRule="auto"/>
        <w:jc w:val="right"/>
        <w:rPr>
          <w:rFonts w:ascii="Montserrat" w:hAnsi="Montserrat" w:eastAsia="Montserrat" w:cs="Montserrat"/>
          <w:b w:val="0"/>
          <w:bCs w:val="0"/>
          <w:i w:val="0"/>
          <w:iCs w:val="0"/>
          <w:caps w:val="0"/>
          <w:smallCaps w:val="0"/>
          <w:noProof w:val="0"/>
          <w:color w:val="595959" w:themeColor="text1" w:themeTint="A6" w:themeShade="FF"/>
          <w:sz w:val="36"/>
          <w:szCs w:val="36"/>
          <w:lang w:val="en-GB"/>
        </w:rPr>
      </w:pPr>
      <w:r w:rsidRPr="4C874FED" w:rsidR="48B7DFED">
        <w:rPr>
          <w:rFonts w:ascii="Montserrat" w:hAnsi="Montserrat" w:eastAsia="Montserrat" w:cs="Montserrat"/>
          <w:b w:val="1"/>
          <w:bCs w:val="1"/>
          <w:i w:val="0"/>
          <w:iCs w:val="0"/>
          <w:caps w:val="0"/>
          <w:smallCaps w:val="0"/>
          <w:noProof w:val="0"/>
          <w:color w:val="595959" w:themeColor="text1" w:themeTint="A6" w:themeShade="FF"/>
          <w:sz w:val="36"/>
          <w:szCs w:val="36"/>
          <w:lang w:val="en-GB"/>
        </w:rPr>
        <w:t>IWSC 2025 Wine Communicator</w:t>
      </w:r>
    </w:p>
    <w:p w:rsidR="48B7DFED" w:rsidP="4C874FED" w:rsidRDefault="48B7DFED" w14:paraId="768971FF" w14:textId="20991DBF">
      <w:pPr>
        <w:spacing w:after="200" w:line="276" w:lineRule="auto"/>
        <w:jc w:val="right"/>
        <w:rPr>
          <w:rFonts w:ascii="Montserrat" w:hAnsi="Montserrat" w:eastAsia="Montserrat" w:cs="Montserrat"/>
          <w:b w:val="0"/>
          <w:bCs w:val="0"/>
          <w:i w:val="0"/>
          <w:iCs w:val="0"/>
          <w:caps w:val="0"/>
          <w:smallCaps w:val="0"/>
          <w:noProof w:val="0"/>
          <w:color w:val="595959" w:themeColor="text1" w:themeTint="A6" w:themeShade="FF"/>
          <w:sz w:val="28"/>
          <w:szCs w:val="28"/>
          <w:lang w:val="en-GB"/>
        </w:rPr>
      </w:pPr>
      <w:r w:rsidRPr="4C874FED" w:rsidR="48B7DFED">
        <w:rPr>
          <w:rFonts w:ascii="Montserrat" w:hAnsi="Montserrat" w:eastAsia="Montserrat" w:cs="Montserrat"/>
          <w:b w:val="1"/>
          <w:bCs w:val="1"/>
          <w:i w:val="0"/>
          <w:iCs w:val="0"/>
          <w:caps w:val="0"/>
          <w:smallCaps w:val="0"/>
          <w:noProof w:val="0"/>
          <w:color w:val="595959" w:themeColor="text1" w:themeTint="A6" w:themeShade="FF"/>
          <w:sz w:val="28"/>
          <w:szCs w:val="28"/>
          <w:lang w:val="en-GB"/>
        </w:rPr>
        <w:t>Sponsored by Vinitaly</w:t>
      </w:r>
    </w:p>
    <w:p w:rsidR="4C874FED" w:rsidP="4C874FED" w:rsidRDefault="4C874FED" w14:paraId="5634B99D" w14:textId="228D2EFD">
      <w:pPr>
        <w:pStyle w:val="Normal"/>
        <w:spacing w:before="240" w:beforeAutospacing="off" w:after="240" w:afterAutospacing="off"/>
        <w:jc w:val="both"/>
        <w:rPr>
          <w:rFonts w:ascii="Calibri" w:hAnsi="Calibri" w:eastAsia="Calibri" w:cs="Calibri"/>
          <w:b w:val="1"/>
          <w:bCs w:val="1"/>
          <w:noProof w:val="0"/>
          <w:sz w:val="24"/>
          <w:szCs w:val="24"/>
          <w:lang w:val="en-GB"/>
        </w:rPr>
      </w:pPr>
    </w:p>
    <w:p w:rsidR="269CD9B7" w:rsidP="753FF73B" w:rsidRDefault="269CD9B7" w14:paraId="3AA9C4AF" w14:textId="59602F4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753FF73B" w:rsidR="269CD9B7">
        <w:rPr>
          <w:rFonts w:ascii="Calibri" w:hAnsi="Calibri" w:eastAsia="Calibri" w:cs="Calibri"/>
          <w:b w:val="1"/>
          <w:bCs w:val="1"/>
          <w:i w:val="0"/>
          <w:iCs w:val="0"/>
          <w:caps w:val="0"/>
          <w:smallCaps w:val="0"/>
          <w:noProof w:val="0"/>
          <w:color w:val="000000" w:themeColor="text1" w:themeTint="FF" w:themeShade="FF"/>
          <w:sz w:val="24"/>
          <w:szCs w:val="24"/>
          <w:lang w:val="en-GB"/>
        </w:rPr>
        <w:t>Nominate a Wine Communicator: IWSC Award 2026</w:t>
      </w:r>
    </w:p>
    <w:p w:rsidR="269CD9B7" w:rsidP="753FF73B" w:rsidRDefault="269CD9B7" w14:paraId="6673DEB9" w14:textId="630764F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753FF73B" w:rsidR="269CD9B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IWSC, in collaboration with headline </w:t>
      </w:r>
      <w:r w:rsidRPr="753FF73B" w:rsidR="0A9A7254">
        <w:rPr>
          <w:rFonts w:ascii="Calibri" w:hAnsi="Calibri" w:eastAsia="Calibri" w:cs="Calibri"/>
          <w:b w:val="0"/>
          <w:bCs w:val="0"/>
          <w:i w:val="0"/>
          <w:iCs w:val="0"/>
          <w:caps w:val="0"/>
          <w:smallCaps w:val="0"/>
          <w:noProof w:val="0"/>
          <w:color w:val="000000" w:themeColor="text1" w:themeTint="FF" w:themeShade="FF"/>
          <w:sz w:val="24"/>
          <w:szCs w:val="24"/>
          <w:lang w:val="en-GB"/>
        </w:rPr>
        <w:t>sponsors</w:t>
      </w:r>
      <w:r w:rsidRPr="753FF73B" w:rsidR="269CD9B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hyperlink r:id="R5f69e6e7138542d5">
        <w:r w:rsidRPr="753FF73B" w:rsidR="269CD9B7">
          <w:rPr>
            <w:rStyle w:val="Hyperlink"/>
            <w:rFonts w:ascii="Calibri" w:hAnsi="Calibri" w:eastAsia="Calibri" w:cs="Calibri"/>
            <w:b w:val="0"/>
            <w:bCs w:val="0"/>
            <w:i w:val="0"/>
            <w:iCs w:val="0"/>
            <w:caps w:val="0"/>
            <w:smallCaps w:val="0"/>
            <w:strike w:val="0"/>
            <w:dstrike w:val="0"/>
            <w:noProof w:val="0"/>
            <w:sz w:val="24"/>
            <w:szCs w:val="24"/>
            <w:lang w:val="en-GB"/>
          </w:rPr>
          <w:t>Vinitaly—</w:t>
        </w:r>
      </w:hyperlink>
      <w:r w:rsidRPr="753FF73B" w:rsidR="269CD9B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world’s leading wine exhibition—is proud to welcome entries for the 2026 </w:t>
      </w:r>
      <w:r w:rsidRPr="753FF73B" w:rsidR="269CD9B7">
        <w:rPr>
          <w:rFonts w:ascii="Calibri" w:hAnsi="Calibri" w:eastAsia="Calibri" w:cs="Calibri"/>
          <w:b w:val="0"/>
          <w:bCs w:val="0"/>
          <w:i w:val="1"/>
          <w:iCs w:val="1"/>
          <w:caps w:val="0"/>
          <w:smallCaps w:val="0"/>
          <w:noProof w:val="0"/>
          <w:color w:val="000000" w:themeColor="text1" w:themeTint="FF" w:themeShade="FF"/>
          <w:sz w:val="24"/>
          <w:szCs w:val="24"/>
          <w:lang w:val="en-GB"/>
        </w:rPr>
        <w:t>Wine Communicator Award</w:t>
      </w:r>
      <w:r w:rsidRPr="753FF73B" w:rsidR="269CD9B7">
        <w:rPr>
          <w:rFonts w:ascii="Calibri" w:hAnsi="Calibri" w:eastAsia="Calibri" w:cs="Calibri"/>
          <w:b w:val="0"/>
          <w:bCs w:val="0"/>
          <w:i w:val="0"/>
          <w:iCs w:val="0"/>
          <w:caps w:val="0"/>
          <w:smallCaps w:val="0"/>
          <w:noProof w:val="0"/>
          <w:color w:val="000000" w:themeColor="text1" w:themeTint="FF" w:themeShade="FF"/>
          <w:sz w:val="24"/>
          <w:szCs w:val="24"/>
          <w:lang w:val="en-GB"/>
        </w:rPr>
        <w:t>. This globally recognised accolade honours individuals whose communication has made a remarkable contribution to the promotion and understanding of wine.</w:t>
      </w:r>
    </w:p>
    <w:p w:rsidR="072F28AF" w:rsidP="4C874FED" w:rsidRDefault="072F28AF" w14:paraId="3F9D211E" w14:textId="27E75CD7">
      <w:pPr>
        <w:spacing w:before="240" w:beforeAutospacing="off" w:after="240" w:afterAutospacing="off"/>
        <w:jc w:val="both"/>
      </w:pPr>
      <w:r w:rsidRPr="4C874FED" w:rsidR="072F28AF">
        <w:rPr>
          <w:rFonts w:ascii="Calibri" w:hAnsi="Calibri" w:eastAsia="Calibri" w:cs="Calibri"/>
          <w:noProof w:val="0"/>
          <w:sz w:val="24"/>
          <w:szCs w:val="24"/>
          <w:lang w:val="en-GB"/>
        </w:rPr>
        <w:t>Open to professionals across publishing, journalism, broadcasting, digital media, and wine education, the award spotlights communicators who inspire audiences with clarity, passion, and integrity.</w:t>
      </w:r>
    </w:p>
    <w:p w:rsidR="072F28AF" w:rsidP="4C874FED" w:rsidRDefault="072F28AF" w14:paraId="520EC53D" w14:textId="3D1D5666">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Eligibility Criteria</w:t>
      </w:r>
      <w:r w:rsidRPr="4C874FED" w:rsidR="072F28AF">
        <w:rPr>
          <w:rFonts w:ascii="Calibri" w:hAnsi="Calibri" w:eastAsia="Calibri" w:cs="Calibri"/>
          <w:noProof w:val="0"/>
          <w:sz w:val="24"/>
          <w:szCs w:val="24"/>
          <w:lang w:val="en-GB"/>
        </w:rPr>
        <w:t xml:space="preserve"> Candidates should demonstrate:</w:t>
      </w:r>
    </w:p>
    <w:p w:rsidR="072F28AF" w:rsidP="4C874FED" w:rsidRDefault="072F28AF" w14:paraId="157D292E" w14:textId="19866593">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Active involvement in wine communication across multiple channels</w:t>
      </w:r>
    </w:p>
    <w:p w:rsidR="072F28AF" w:rsidP="4C874FED" w:rsidRDefault="072F28AF" w14:paraId="2DDA236D" w14:textId="7A46A170">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A strong reputation for credibility, ethics, and professionalism</w:t>
      </w:r>
    </w:p>
    <w:p w:rsidR="072F28AF" w:rsidP="4C874FED" w:rsidRDefault="072F28AF" w14:paraId="347FCA7B" w14:textId="4D9163AC">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Achievements within the past 12 months, along with broader career impact</w:t>
      </w:r>
    </w:p>
    <w:p w:rsidR="072F28AF" w:rsidP="4C874FED" w:rsidRDefault="072F28AF" w14:paraId="30146806" w14:textId="36F89F75">
      <w:pPr>
        <w:pStyle w:val="ListParagraph"/>
        <w:numPr>
          <w:ilvl w:val="0"/>
          <w:numId w:val="1"/>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noProof w:val="0"/>
          <w:sz w:val="24"/>
          <w:szCs w:val="24"/>
          <w:lang w:val="en-GB"/>
        </w:rPr>
        <w:t>Influence within trade and consumer communities</w:t>
      </w:r>
    </w:p>
    <w:p w:rsidR="072F28AF" w:rsidP="4C874FED" w:rsidRDefault="072F28AF" w14:paraId="2F649E8E" w14:textId="558189EE">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Judging &amp; Recognition</w:t>
      </w:r>
      <w:r w:rsidRPr="4C874FED" w:rsidR="072F28AF">
        <w:rPr>
          <w:rFonts w:ascii="Calibri" w:hAnsi="Calibri" w:eastAsia="Calibri" w:cs="Calibri"/>
          <w:noProof w:val="0"/>
          <w:sz w:val="24"/>
          <w:szCs w:val="24"/>
          <w:lang w:val="en-GB"/>
        </w:rPr>
        <w:t xml:space="preserve"> Entries will be reviewed by a panel of communication experts including previous winners, members of the IWSC team, and a representative from Vinitaly. Entry is free of charge.</w:t>
      </w:r>
    </w:p>
    <w:p w:rsidR="072F28AF" w:rsidP="4C874FED" w:rsidRDefault="072F28AF" w14:paraId="088B7FAD" w14:textId="5C7D4AFB">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Key Dates</w:t>
      </w:r>
    </w:p>
    <w:p w:rsidR="072F28AF" w:rsidP="4C874FED" w:rsidRDefault="072F28AF" w14:paraId="12A8691C" w14:textId="47686B2E">
      <w:pPr>
        <w:pStyle w:val="ListParagraph"/>
        <w:numPr>
          <w:ilvl w:val="0"/>
          <w:numId w:val="2"/>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b w:val="1"/>
          <w:bCs w:val="1"/>
          <w:noProof w:val="0"/>
          <w:sz w:val="24"/>
          <w:szCs w:val="24"/>
          <w:lang w:val="en-GB"/>
        </w:rPr>
        <w:t>Deadline for submissions:</w:t>
      </w:r>
      <w:r w:rsidRPr="4C874FED" w:rsidR="072F28AF">
        <w:rPr>
          <w:rFonts w:ascii="Calibri" w:hAnsi="Calibri" w:eastAsia="Calibri" w:cs="Calibri"/>
          <w:noProof w:val="0"/>
          <w:sz w:val="24"/>
          <w:szCs w:val="24"/>
          <w:lang w:val="en-GB"/>
        </w:rPr>
        <w:t xml:space="preserve"> Friday 5th September 2025</w:t>
      </w:r>
    </w:p>
    <w:p w:rsidR="072F28AF" w:rsidP="4C874FED" w:rsidRDefault="072F28AF" w14:paraId="56F1CCCC" w14:textId="7FABBE80">
      <w:pPr>
        <w:pStyle w:val="ListParagraph"/>
        <w:numPr>
          <w:ilvl w:val="0"/>
          <w:numId w:val="2"/>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b w:val="1"/>
          <w:bCs w:val="1"/>
          <w:noProof w:val="0"/>
          <w:sz w:val="24"/>
          <w:szCs w:val="24"/>
          <w:lang w:val="en-GB"/>
        </w:rPr>
        <w:t>Shortlist released:</w:t>
      </w:r>
      <w:r w:rsidRPr="4C874FED" w:rsidR="072F28AF">
        <w:rPr>
          <w:rFonts w:ascii="Calibri" w:hAnsi="Calibri" w:eastAsia="Calibri" w:cs="Calibri"/>
          <w:noProof w:val="0"/>
          <w:sz w:val="24"/>
          <w:szCs w:val="24"/>
          <w:lang w:val="en-GB"/>
        </w:rPr>
        <w:t xml:space="preserve"> Late September</w:t>
      </w:r>
    </w:p>
    <w:p w:rsidR="072F28AF" w:rsidP="4C874FED" w:rsidRDefault="072F28AF" w14:paraId="3AFEE0CC" w14:textId="7C5F8CF8">
      <w:pPr>
        <w:pStyle w:val="ListParagraph"/>
        <w:numPr>
          <w:ilvl w:val="0"/>
          <w:numId w:val="2"/>
        </w:numPr>
        <w:spacing w:before="240" w:beforeAutospacing="off" w:after="240" w:afterAutospacing="off"/>
        <w:jc w:val="both"/>
        <w:rPr>
          <w:rFonts w:ascii="Calibri" w:hAnsi="Calibri" w:eastAsia="Calibri" w:cs="Calibri"/>
          <w:noProof w:val="0"/>
          <w:sz w:val="24"/>
          <w:szCs w:val="24"/>
          <w:lang w:val="en-GB"/>
        </w:rPr>
      </w:pPr>
      <w:r w:rsidRPr="4C874FED" w:rsidR="072F28AF">
        <w:rPr>
          <w:rFonts w:ascii="Calibri" w:hAnsi="Calibri" w:eastAsia="Calibri" w:cs="Calibri"/>
          <w:b w:val="1"/>
          <w:bCs w:val="1"/>
          <w:noProof w:val="0"/>
          <w:sz w:val="24"/>
          <w:szCs w:val="24"/>
          <w:lang w:val="en-GB"/>
        </w:rPr>
        <w:t>Winner announced:</w:t>
      </w:r>
      <w:r w:rsidRPr="4C874FED" w:rsidR="072F28AF">
        <w:rPr>
          <w:rFonts w:ascii="Calibri" w:hAnsi="Calibri" w:eastAsia="Calibri" w:cs="Calibri"/>
          <w:noProof w:val="0"/>
          <w:sz w:val="24"/>
          <w:szCs w:val="24"/>
          <w:lang w:val="en-GB"/>
        </w:rPr>
        <w:t xml:space="preserve"> Tuesday 12th November 2025 at the </w:t>
      </w:r>
      <w:hyperlink r:id="R6ec3eea7153b4d9f">
        <w:r w:rsidRPr="4C874FED" w:rsidR="072F28AF">
          <w:rPr>
            <w:rStyle w:val="Hyperlink"/>
            <w:rFonts w:ascii="Calibri" w:hAnsi="Calibri" w:eastAsia="Calibri" w:cs="Calibri"/>
            <w:noProof w:val="0"/>
            <w:sz w:val="24"/>
            <w:szCs w:val="24"/>
            <w:lang w:val="en-GB"/>
          </w:rPr>
          <w:t>IWSC Awards Celebration</w:t>
        </w:r>
      </w:hyperlink>
    </w:p>
    <w:p w:rsidR="072F28AF" w:rsidP="4C874FED" w:rsidRDefault="072F28AF" w14:paraId="3157920C" w14:textId="076E45B6">
      <w:pPr>
        <w:spacing w:before="240" w:beforeAutospacing="off" w:after="240" w:afterAutospacing="off"/>
        <w:jc w:val="both"/>
      </w:pPr>
      <w:r w:rsidRPr="4C874FED" w:rsidR="072F28AF">
        <w:rPr>
          <w:rFonts w:ascii="Calibri" w:hAnsi="Calibri" w:eastAsia="Calibri" w:cs="Calibri"/>
          <w:noProof w:val="0"/>
          <w:sz w:val="24"/>
          <w:szCs w:val="24"/>
          <w:lang w:val="en-GB"/>
        </w:rPr>
        <w:t xml:space="preserve">The winner will </w:t>
      </w:r>
      <w:r w:rsidRPr="4C874FED" w:rsidR="072F28AF">
        <w:rPr>
          <w:rFonts w:ascii="Calibri" w:hAnsi="Calibri" w:eastAsia="Calibri" w:cs="Calibri"/>
          <w:noProof w:val="0"/>
          <w:sz w:val="24"/>
          <w:szCs w:val="24"/>
          <w:lang w:val="en-GB"/>
        </w:rPr>
        <w:t>participate</w:t>
      </w:r>
      <w:r w:rsidRPr="4C874FED" w:rsidR="072F28AF">
        <w:rPr>
          <w:rFonts w:ascii="Calibri" w:hAnsi="Calibri" w:eastAsia="Calibri" w:cs="Calibri"/>
          <w:noProof w:val="0"/>
          <w:sz w:val="24"/>
          <w:szCs w:val="24"/>
          <w:lang w:val="en-GB"/>
        </w:rPr>
        <w:t xml:space="preserve"> in a programme of year-round activations with the IWSC, including editorial features in </w:t>
      </w:r>
      <w:hyperlink r:id="R400b1782f3514ad1">
        <w:r w:rsidRPr="4C874FED" w:rsidR="072F28AF">
          <w:rPr>
            <w:rStyle w:val="Hyperlink"/>
            <w:rFonts w:ascii="Calibri" w:hAnsi="Calibri" w:eastAsia="Calibri" w:cs="Calibri"/>
            <w:i w:val="1"/>
            <w:iCs w:val="1"/>
            <w:noProof w:val="0"/>
            <w:sz w:val="24"/>
            <w:szCs w:val="24"/>
            <w:lang w:val="en-GB"/>
          </w:rPr>
          <w:t xml:space="preserve">Club </w:t>
        </w:r>
        <w:r w:rsidRPr="4C874FED" w:rsidR="072F28AF">
          <w:rPr>
            <w:rStyle w:val="Hyperlink"/>
            <w:rFonts w:ascii="Calibri" w:hAnsi="Calibri" w:eastAsia="Calibri" w:cs="Calibri"/>
            <w:i w:val="1"/>
            <w:iCs w:val="1"/>
            <w:noProof w:val="0"/>
            <w:sz w:val="24"/>
            <w:szCs w:val="24"/>
            <w:lang w:val="en-GB"/>
          </w:rPr>
          <w:t>Oenologique</w:t>
        </w:r>
        <w:r w:rsidRPr="4C874FED" w:rsidR="072F28AF">
          <w:rPr>
            <w:rStyle w:val="Hyperlink"/>
            <w:rFonts w:ascii="Calibri" w:hAnsi="Calibri" w:eastAsia="Calibri" w:cs="Calibri"/>
            <w:noProof w:val="0"/>
            <w:sz w:val="24"/>
            <w:szCs w:val="24"/>
            <w:lang w:val="en-GB"/>
          </w:rPr>
          <w:t>.</w:t>
        </w:r>
      </w:hyperlink>
      <w:r w:rsidRPr="4C874FED" w:rsidR="072F28AF">
        <w:rPr>
          <w:rFonts w:ascii="Calibri" w:hAnsi="Calibri" w:eastAsia="Calibri" w:cs="Calibri"/>
          <w:noProof w:val="0"/>
          <w:sz w:val="24"/>
          <w:szCs w:val="24"/>
          <w:lang w:val="en-GB"/>
        </w:rPr>
        <w:t xml:space="preserve"> They will also be invited to </w:t>
      </w:r>
      <w:r w:rsidRPr="4C874FED" w:rsidR="072F28AF">
        <w:rPr>
          <w:rFonts w:ascii="Calibri" w:hAnsi="Calibri" w:eastAsia="Calibri" w:cs="Calibri"/>
          <w:noProof w:val="0"/>
          <w:sz w:val="24"/>
          <w:szCs w:val="24"/>
          <w:lang w:val="en-GB"/>
        </w:rPr>
        <w:t>Vinitaly</w:t>
      </w:r>
      <w:r w:rsidRPr="4C874FED" w:rsidR="072F28AF">
        <w:rPr>
          <w:rFonts w:ascii="Calibri" w:hAnsi="Calibri" w:eastAsia="Calibri" w:cs="Calibri"/>
          <w:noProof w:val="0"/>
          <w:sz w:val="24"/>
          <w:szCs w:val="24"/>
          <w:lang w:val="en-GB"/>
        </w:rPr>
        <w:t xml:space="preserve"> in April 2026 to host a masterclass as part of their ambassadorial role.</w:t>
      </w:r>
    </w:p>
    <w:p w:rsidR="072F28AF" w:rsidP="4C874FED" w:rsidRDefault="072F28AF" w14:paraId="0800D6AE" w14:textId="246103EC">
      <w:pPr>
        <w:spacing w:before="240" w:beforeAutospacing="off" w:after="240" w:afterAutospacing="off"/>
        <w:jc w:val="both"/>
      </w:pPr>
      <w:r w:rsidRPr="4C874FED" w:rsidR="072F28AF">
        <w:rPr>
          <w:rFonts w:ascii="Calibri" w:hAnsi="Calibri" w:eastAsia="Calibri" w:cs="Calibri"/>
          <w:b w:val="1"/>
          <w:bCs w:val="1"/>
          <w:noProof w:val="0"/>
          <w:sz w:val="24"/>
          <w:szCs w:val="24"/>
          <w:lang w:val="en-GB"/>
        </w:rPr>
        <w:t>How to Apply</w:t>
      </w:r>
      <w:r w:rsidRPr="4C874FED" w:rsidR="072F28AF">
        <w:rPr>
          <w:rFonts w:ascii="Calibri" w:hAnsi="Calibri" w:eastAsia="Calibri" w:cs="Calibri"/>
          <w:noProof w:val="0"/>
          <w:sz w:val="24"/>
          <w:szCs w:val="24"/>
          <w:lang w:val="en-GB"/>
        </w:rPr>
        <w:t xml:space="preserve"> Please complete and return this questionnaire to </w:t>
      </w:r>
      <w:hyperlink r:id="Rd55e1355bb04433d">
        <w:r w:rsidRPr="4C874FED" w:rsidR="072F28AF">
          <w:rPr>
            <w:rStyle w:val="Hyperlink"/>
            <w:rFonts w:ascii="Calibri" w:hAnsi="Calibri" w:eastAsia="Calibri" w:cs="Calibri"/>
            <w:noProof w:val="0"/>
            <w:sz w:val="24"/>
            <w:szCs w:val="24"/>
            <w:lang w:val="en-GB"/>
          </w:rPr>
          <w:t>community@iwsc.net</w:t>
        </w:r>
      </w:hyperlink>
      <w:r w:rsidRPr="4C874FED" w:rsidR="072F28AF">
        <w:rPr>
          <w:rFonts w:ascii="Calibri" w:hAnsi="Calibri" w:eastAsia="Calibri" w:cs="Calibri"/>
          <w:noProof w:val="0"/>
          <w:sz w:val="24"/>
          <w:szCs w:val="24"/>
          <w:lang w:val="en-GB"/>
        </w:rPr>
        <w:t xml:space="preserve"> by </w:t>
      </w:r>
      <w:r w:rsidRPr="4C874FED" w:rsidR="072F28AF">
        <w:rPr>
          <w:rFonts w:ascii="Calibri" w:hAnsi="Calibri" w:eastAsia="Calibri" w:cs="Calibri"/>
          <w:b w:val="1"/>
          <w:bCs w:val="1"/>
          <w:noProof w:val="0"/>
          <w:sz w:val="24"/>
          <w:szCs w:val="24"/>
          <w:lang w:val="en-GB"/>
        </w:rPr>
        <w:t>Friday 5th September 2025</w:t>
      </w:r>
      <w:r w:rsidRPr="4C874FED" w:rsidR="072F28AF">
        <w:rPr>
          <w:rFonts w:ascii="Calibri" w:hAnsi="Calibri" w:eastAsia="Calibri" w:cs="Calibri"/>
          <w:noProof w:val="0"/>
          <w:sz w:val="24"/>
          <w:szCs w:val="24"/>
          <w:lang w:val="en-GB"/>
        </w:rPr>
        <w:t>.</w:t>
      </w:r>
    </w:p>
    <w:p w:rsidR="003F38CC" w:rsidP="003F38CC" w:rsidRDefault="003F38CC" w14:paraId="7E63248F" w14:textId="77777777">
      <w:pPr>
        <w:pStyle w:val="NoSpacing"/>
        <w:rPr>
          <w:sz w:val="24"/>
          <w:szCs w:val="24"/>
        </w:rPr>
      </w:pPr>
    </w:p>
    <w:tbl>
      <w:tblPr>
        <w:tblStyle w:val="TableGrid"/>
        <w:tblW w:w="0" w:type="auto"/>
        <w:tblInd w:w="0" w:type="dxa"/>
        <w:tblLook w:val="04A0" w:firstRow="1" w:lastRow="0" w:firstColumn="1" w:lastColumn="0" w:noHBand="0" w:noVBand="1"/>
      </w:tblPr>
      <w:tblGrid>
        <w:gridCol w:w="2405"/>
        <w:gridCol w:w="142"/>
        <w:gridCol w:w="1975"/>
        <w:gridCol w:w="921"/>
        <w:gridCol w:w="129"/>
        <w:gridCol w:w="3444"/>
      </w:tblGrid>
      <w:tr w:rsidRPr="005D077B" w:rsidR="003F38CC" w:rsidTr="00E42E75" w14:paraId="5BDE094A" w14:textId="77777777">
        <w:tc>
          <w:tcPr>
            <w:tcW w:w="9016" w:type="dxa"/>
            <w:gridSpan w:val="6"/>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3F38CC" w:rsidP="00E42E75" w:rsidRDefault="003F38CC" w14:paraId="3C7E7F14" w14:textId="77777777">
            <w:pPr>
              <w:pStyle w:val="NoSpacing"/>
              <w:rPr>
                <w:b/>
                <w:bCs/>
                <w:sz w:val="24"/>
                <w:szCs w:val="24"/>
              </w:rPr>
            </w:pPr>
            <w:r w:rsidRPr="005D077B">
              <w:rPr>
                <w:b/>
                <w:bCs/>
                <w:color w:val="FFFFFF" w:themeColor="background1"/>
                <w:sz w:val="24"/>
                <w:szCs w:val="24"/>
              </w:rPr>
              <w:t>NOMINEE’S CONTACT INFORMATION</w:t>
            </w:r>
          </w:p>
        </w:tc>
      </w:tr>
      <w:tr w:rsidRPr="005D077B" w:rsidR="003F38CC" w:rsidTr="00E42E75" w14:paraId="613063E3" w14:textId="77777777">
        <w:tc>
          <w:tcPr>
            <w:tcW w:w="2405" w:type="dxa"/>
            <w:tcBorders>
              <w:top w:val="nil"/>
              <w:left w:val="nil"/>
              <w:bottom w:val="nil"/>
              <w:right w:val="nil"/>
            </w:tcBorders>
            <w:hideMark/>
          </w:tcPr>
          <w:p w:rsidRPr="005D077B" w:rsidR="003F38CC" w:rsidP="00E42E75" w:rsidRDefault="003F38CC" w14:paraId="701752B7" w14:textId="77777777">
            <w:pPr>
              <w:pStyle w:val="NoSpacing"/>
              <w:spacing w:before="240"/>
              <w:rPr>
                <w:sz w:val="24"/>
                <w:szCs w:val="24"/>
              </w:rPr>
            </w:pPr>
            <w:r w:rsidRPr="005D077B">
              <w:rPr>
                <w:sz w:val="24"/>
                <w:szCs w:val="24"/>
              </w:rPr>
              <w:t>Full name:</w:t>
            </w:r>
          </w:p>
        </w:tc>
        <w:tc>
          <w:tcPr>
            <w:tcW w:w="6611" w:type="dxa"/>
            <w:gridSpan w:val="5"/>
            <w:tcBorders>
              <w:top w:val="single" w:color="auto" w:sz="4" w:space="0"/>
              <w:left w:val="nil"/>
              <w:bottom w:val="single" w:color="auto" w:sz="4" w:space="0"/>
              <w:right w:val="nil"/>
            </w:tcBorders>
          </w:tcPr>
          <w:p w:rsidRPr="005D077B" w:rsidR="003F38CC" w:rsidP="00E42E75" w:rsidRDefault="003F38CC" w14:paraId="49CD39D4" w14:textId="77777777">
            <w:pPr>
              <w:pStyle w:val="NoSpacing"/>
              <w:spacing w:before="240"/>
              <w:rPr>
                <w:sz w:val="24"/>
                <w:szCs w:val="24"/>
              </w:rPr>
            </w:pPr>
          </w:p>
        </w:tc>
      </w:tr>
      <w:tr w:rsidRPr="005D077B" w:rsidR="003F38CC" w:rsidTr="00E42E75" w14:paraId="20EE0246" w14:textId="77777777">
        <w:tc>
          <w:tcPr>
            <w:tcW w:w="2405" w:type="dxa"/>
            <w:tcBorders>
              <w:top w:val="nil"/>
              <w:left w:val="nil"/>
              <w:bottom w:val="nil"/>
              <w:right w:val="nil"/>
            </w:tcBorders>
            <w:hideMark/>
          </w:tcPr>
          <w:p w:rsidRPr="005D077B" w:rsidR="003F38CC" w:rsidP="00E42E75" w:rsidRDefault="003F38CC" w14:paraId="1874EE8F" w14:textId="77777777">
            <w:pPr>
              <w:pStyle w:val="NoSpacing"/>
              <w:spacing w:before="240"/>
              <w:rPr>
                <w:sz w:val="24"/>
                <w:szCs w:val="24"/>
              </w:rPr>
            </w:pPr>
            <w:r>
              <w:rPr>
                <w:sz w:val="24"/>
                <w:szCs w:val="24"/>
              </w:rPr>
              <w:t>Country of residence</w:t>
            </w:r>
            <w:r w:rsidRPr="005D077B">
              <w:rPr>
                <w:sz w:val="24"/>
                <w:szCs w:val="24"/>
              </w:rPr>
              <w:t>:</w:t>
            </w:r>
          </w:p>
        </w:tc>
        <w:tc>
          <w:tcPr>
            <w:tcW w:w="6611" w:type="dxa"/>
            <w:gridSpan w:val="5"/>
            <w:tcBorders>
              <w:top w:val="single" w:color="auto" w:sz="4" w:space="0"/>
              <w:left w:val="nil"/>
              <w:bottom w:val="single" w:color="auto" w:sz="4" w:space="0"/>
              <w:right w:val="nil"/>
            </w:tcBorders>
          </w:tcPr>
          <w:p w:rsidRPr="005D077B" w:rsidR="003F38CC" w:rsidP="00E42E75" w:rsidRDefault="003F38CC" w14:paraId="58F0976C" w14:textId="77777777">
            <w:pPr>
              <w:pStyle w:val="NoSpacing"/>
              <w:spacing w:before="240"/>
              <w:rPr>
                <w:sz w:val="24"/>
                <w:szCs w:val="24"/>
              </w:rPr>
            </w:pPr>
          </w:p>
        </w:tc>
      </w:tr>
      <w:tr w:rsidRPr="005D077B" w:rsidR="003F38CC" w:rsidTr="00E42E75" w14:paraId="7C6230FD" w14:textId="77777777">
        <w:tc>
          <w:tcPr>
            <w:tcW w:w="2405" w:type="dxa"/>
            <w:tcBorders>
              <w:top w:val="nil"/>
              <w:left w:val="nil"/>
              <w:bottom w:val="nil"/>
              <w:right w:val="nil"/>
            </w:tcBorders>
          </w:tcPr>
          <w:p w:rsidRPr="005D077B" w:rsidR="003F38CC" w:rsidP="00E42E75" w:rsidRDefault="003F38CC" w14:paraId="65D9EA74" w14:textId="77777777">
            <w:pPr>
              <w:pStyle w:val="NoSpacing"/>
              <w:spacing w:before="240"/>
              <w:rPr>
                <w:sz w:val="24"/>
                <w:szCs w:val="24"/>
              </w:rPr>
            </w:pPr>
            <w:r>
              <w:rPr>
                <w:sz w:val="24"/>
                <w:szCs w:val="24"/>
              </w:rPr>
              <w:t>Email:</w:t>
            </w:r>
          </w:p>
        </w:tc>
        <w:tc>
          <w:tcPr>
            <w:tcW w:w="3038" w:type="dxa"/>
            <w:gridSpan w:val="3"/>
            <w:tcBorders>
              <w:top w:val="nil"/>
              <w:left w:val="nil"/>
              <w:bottom w:val="single" w:color="auto" w:sz="4" w:space="0"/>
              <w:right w:val="nil"/>
            </w:tcBorders>
          </w:tcPr>
          <w:p w:rsidRPr="005D077B" w:rsidR="003F38CC" w:rsidP="00E42E75" w:rsidRDefault="003F38CC" w14:paraId="740458BA"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3F38CC" w:rsidP="00E42E75" w:rsidRDefault="003F38CC" w14:paraId="65CCC9AF" w14:textId="77777777">
            <w:pPr>
              <w:pStyle w:val="NoSpacing"/>
              <w:spacing w:before="240"/>
              <w:jc w:val="right"/>
              <w:rPr>
                <w:sz w:val="24"/>
                <w:szCs w:val="24"/>
              </w:rPr>
            </w:pPr>
          </w:p>
        </w:tc>
      </w:tr>
      <w:tr w:rsidRPr="005D077B" w:rsidR="003F38CC" w:rsidTr="00E42E75" w14:paraId="311DA833" w14:textId="77777777">
        <w:tc>
          <w:tcPr>
            <w:tcW w:w="2405" w:type="dxa"/>
            <w:tcBorders>
              <w:top w:val="nil"/>
              <w:left w:val="nil"/>
              <w:bottom w:val="nil"/>
              <w:right w:val="nil"/>
            </w:tcBorders>
          </w:tcPr>
          <w:p w:rsidR="003F38CC" w:rsidP="00E42E75" w:rsidRDefault="003F38CC" w14:paraId="5DFE41C2" w14:textId="77777777">
            <w:pPr>
              <w:pStyle w:val="NoSpacing"/>
              <w:spacing w:before="240"/>
              <w:rPr>
                <w:sz w:val="24"/>
                <w:szCs w:val="24"/>
              </w:rPr>
            </w:pPr>
            <w:r>
              <w:rPr>
                <w:sz w:val="24"/>
                <w:szCs w:val="24"/>
              </w:rPr>
              <w:t>Website:</w:t>
            </w:r>
          </w:p>
        </w:tc>
        <w:tc>
          <w:tcPr>
            <w:tcW w:w="3038" w:type="dxa"/>
            <w:gridSpan w:val="3"/>
            <w:tcBorders>
              <w:top w:val="nil"/>
              <w:left w:val="nil"/>
              <w:bottom w:val="single" w:color="auto" w:sz="4" w:space="0"/>
              <w:right w:val="nil"/>
            </w:tcBorders>
          </w:tcPr>
          <w:p w:rsidRPr="005D077B" w:rsidR="003F38CC" w:rsidP="00E42E75" w:rsidRDefault="003F38CC" w14:paraId="7E2DA662"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3F38CC" w:rsidP="00E42E75" w:rsidRDefault="003F38CC" w14:paraId="385507EC" w14:textId="77777777">
            <w:pPr>
              <w:pStyle w:val="NoSpacing"/>
              <w:spacing w:before="240"/>
              <w:jc w:val="right"/>
              <w:rPr>
                <w:sz w:val="24"/>
                <w:szCs w:val="24"/>
              </w:rPr>
            </w:pPr>
          </w:p>
        </w:tc>
      </w:tr>
      <w:tr w:rsidRPr="005D077B" w:rsidR="003F38CC" w:rsidTr="00E42E75" w14:paraId="371B0C07" w14:textId="77777777">
        <w:tc>
          <w:tcPr>
            <w:tcW w:w="2547" w:type="dxa"/>
            <w:gridSpan w:val="2"/>
            <w:tcBorders>
              <w:top w:val="nil"/>
              <w:left w:val="nil"/>
              <w:bottom w:val="nil"/>
              <w:right w:val="nil"/>
            </w:tcBorders>
          </w:tcPr>
          <w:p w:rsidRPr="005D077B" w:rsidR="003F38CC" w:rsidP="00E42E75" w:rsidRDefault="003F38CC" w14:paraId="59CA8098" w14:textId="77777777">
            <w:pPr>
              <w:pStyle w:val="NoSpacing"/>
              <w:spacing w:before="240"/>
              <w:rPr>
                <w:sz w:val="24"/>
                <w:szCs w:val="24"/>
              </w:rPr>
            </w:pPr>
            <w:r w:rsidRPr="005D077B">
              <w:rPr>
                <w:sz w:val="24"/>
                <w:szCs w:val="24"/>
              </w:rPr>
              <w:t>Social media handle(s):</w:t>
            </w:r>
          </w:p>
        </w:tc>
        <w:tc>
          <w:tcPr>
            <w:tcW w:w="1975" w:type="dxa"/>
            <w:tcBorders>
              <w:top w:val="single" w:color="auto" w:sz="4" w:space="0"/>
              <w:left w:val="nil"/>
              <w:bottom w:val="single" w:color="auto" w:sz="4" w:space="0"/>
              <w:right w:val="nil"/>
            </w:tcBorders>
          </w:tcPr>
          <w:p w:rsidRPr="005D077B" w:rsidR="003F38CC" w:rsidP="00E42E75" w:rsidRDefault="003F38CC" w14:paraId="48B43FC7" w14:textId="77777777">
            <w:pPr>
              <w:pStyle w:val="NoSpacing"/>
              <w:spacing w:before="240"/>
              <w:rPr>
                <w:sz w:val="24"/>
                <w:szCs w:val="24"/>
              </w:rPr>
            </w:pPr>
          </w:p>
        </w:tc>
        <w:tc>
          <w:tcPr>
            <w:tcW w:w="1050" w:type="dxa"/>
            <w:gridSpan w:val="2"/>
            <w:tcBorders>
              <w:top w:val="single" w:color="auto" w:sz="4" w:space="0"/>
              <w:left w:val="nil"/>
              <w:bottom w:val="single" w:color="auto" w:sz="4" w:space="0"/>
              <w:right w:val="nil"/>
            </w:tcBorders>
          </w:tcPr>
          <w:p w:rsidRPr="005D077B" w:rsidR="003F38CC" w:rsidP="00E42E75" w:rsidRDefault="003F38CC" w14:paraId="45FF9919" w14:textId="77777777">
            <w:pPr>
              <w:pStyle w:val="NoSpacing"/>
              <w:spacing w:before="240"/>
              <w:rPr>
                <w:sz w:val="24"/>
                <w:szCs w:val="24"/>
              </w:rPr>
            </w:pPr>
          </w:p>
        </w:tc>
        <w:tc>
          <w:tcPr>
            <w:tcW w:w="3444" w:type="dxa"/>
            <w:tcBorders>
              <w:top w:val="single" w:color="auto" w:sz="4" w:space="0"/>
              <w:left w:val="nil"/>
              <w:bottom w:val="single" w:color="auto" w:sz="4" w:space="0"/>
              <w:right w:val="nil"/>
            </w:tcBorders>
            <w:hideMark/>
          </w:tcPr>
          <w:p w:rsidRPr="005D077B" w:rsidR="003F38CC" w:rsidP="00E42E75" w:rsidRDefault="003F38CC" w14:paraId="79A12BD2" w14:textId="77777777">
            <w:pPr>
              <w:pStyle w:val="NoSpacing"/>
              <w:spacing w:before="240"/>
              <w:jc w:val="right"/>
              <w:rPr>
                <w:i/>
                <w:iCs/>
                <w:sz w:val="24"/>
                <w:szCs w:val="24"/>
              </w:rPr>
            </w:pPr>
          </w:p>
        </w:tc>
      </w:tr>
    </w:tbl>
    <w:p w:rsidR="003F38CC" w:rsidP="003F38CC" w:rsidRDefault="003F38CC" w14:paraId="23A94262" w14:textId="77777777">
      <w:pPr>
        <w:spacing w:after="160" w:line="256" w:lineRule="auto"/>
      </w:pPr>
    </w:p>
    <w:tbl>
      <w:tblPr>
        <w:tblStyle w:val="TableGrid"/>
        <w:tblW w:w="0" w:type="auto"/>
        <w:tblInd w:w="0" w:type="dxa"/>
        <w:tblLook w:val="04A0" w:firstRow="1" w:lastRow="0" w:firstColumn="1" w:lastColumn="0" w:noHBand="0" w:noVBand="1"/>
      </w:tblPr>
      <w:tblGrid>
        <w:gridCol w:w="9016"/>
      </w:tblGrid>
      <w:tr w:rsidRPr="005D077B" w:rsidR="003F38CC" w:rsidTr="753FF73B" w14:paraId="3CDA05D2"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3F38CC" w:rsidP="753FF73B" w:rsidRDefault="003F38CC" w14:paraId="2F647B46" w14:textId="0389EBF7">
            <w:pPr>
              <w:pStyle w:val="NoSpacing"/>
              <w:rPr>
                <w:b w:val="1"/>
                <w:bCs w:val="1"/>
                <w:color w:val="FFFFFF" w:themeColor="background1" w:themeTint="FF" w:themeShade="FF"/>
                <w:sz w:val="24"/>
                <w:szCs w:val="24"/>
              </w:rPr>
            </w:pPr>
            <w:r w:rsidRPr="753FF73B" w:rsidR="003F38CC">
              <w:rPr>
                <w:b w:val="1"/>
                <w:bCs w:val="1"/>
                <w:color w:val="FFFFFF" w:themeColor="background1" w:themeTint="FF" w:themeShade="FF"/>
                <w:sz w:val="24"/>
                <w:szCs w:val="24"/>
              </w:rPr>
              <w:t>ABOUT YOU</w:t>
            </w:r>
            <w:r w:rsidRPr="753FF73B" w:rsidR="2871C86B">
              <w:rPr>
                <w:b w:val="1"/>
                <w:bCs w:val="1"/>
                <w:color w:val="FFFFFF" w:themeColor="background1" w:themeTint="FF" w:themeShade="FF"/>
                <w:sz w:val="24"/>
                <w:szCs w:val="24"/>
              </w:rPr>
              <w:t>R NOMINEE</w:t>
            </w:r>
          </w:p>
        </w:tc>
      </w:tr>
    </w:tbl>
    <w:p w:rsidRPr="005D077B" w:rsidR="003F38CC" w:rsidP="003F38CC" w:rsidRDefault="003F38CC" w14:paraId="131E1784" w14:textId="77777777">
      <w:pPr>
        <w:spacing w:after="160" w:line="256" w:lineRule="auto"/>
        <w:rPr>
          <w:b/>
          <w:bCs/>
          <w:sz w:val="24"/>
          <w:szCs w:val="24"/>
        </w:rPr>
      </w:pPr>
      <w:r w:rsidRPr="005D077B">
        <w:rPr>
          <w:noProof/>
          <w:sz w:val="24"/>
          <w:szCs w:val="24"/>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0" behindDoc="0" locked="0" layoutInCell="1" allowOverlap="1" wp14:anchorId="66C74619" wp14:editId="05D9226C">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249942</wp:posOffset>
                </wp:positionV>
                <wp:extent cx="5690235" cy="3128645"/>
                <wp:effectExtent l="0" t="0" r="24765" b="14605"/>
                <wp:wrapSquare xmlns:wp="http://schemas.openxmlformats.org/drawingml/2006/wordprocessingDrawing" wrapText="bothSides"/>
                <wp:docPr xmlns:wp="http://schemas.openxmlformats.org/drawingml/2006/wordprocessingDrawing" id="10"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235" cy="3128645"/>
                        </a:xfrm>
                        <a:prstGeom prst="rect">
                          <a:avLst/>
                        </a:prstGeom>
                        <a:solidFill>
                          <a:srgbClr val="FFFFFF"/>
                        </a:solidFill>
                        <a:ln w="9525">
                          <a:solidFill>
                            <a:srgbClr val="000000"/>
                          </a:solidFill>
                          <a:miter lim="800000"/>
                          <a:headEnd/>
                          <a:tailEnd/>
                        </a:ln>
                      </wps:spPr>
                      <wps:txbx>
                        <w:txbxContent>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p w:rsidR="006F61FC" w:rsidP="003F38CC" w:rsidRDefault="006F61FC"/>
                        </w:txbxContent>
                      </wps:txbx>
                      <wps:bodyPr rot="0"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005D077B" w:rsidR="003F38CC">
        <w:rPr>
          <w:b w:val="1"/>
          <w:bCs w:val="1"/>
          <w:sz w:val="24"/>
          <w:szCs w:val="24"/>
        </w:rPr>
        <w:t>Biography</w:t>
      </w:r>
      <w:r w:rsidR="003F38CC">
        <w:rPr>
          <w:b w:val="1"/>
          <w:bCs w:val="1"/>
          <w:sz w:val="24"/>
          <w:szCs w:val="24"/>
        </w:rPr>
        <w:t xml:space="preserve"> </w:t>
      </w:r>
      <w:r w:rsidRPr="003B7D8E" w:rsidR="003F38CC">
        <w:rPr>
          <w:sz w:val="24"/>
          <w:szCs w:val="24"/>
        </w:rPr>
        <w:t>(no word limit):</w:t>
      </w:r>
    </w:p>
    <w:p w:rsidR="003F38CC" w:rsidP="003F38CC" w:rsidRDefault="003F38CC" w14:paraId="0478EEB6" w14:textId="77777777">
      <w:pPr>
        <w:spacing w:after="160" w:line="256" w:lineRule="auto"/>
      </w:pPr>
    </w:p>
    <w:p w:rsidR="005D196A" w:rsidP="003F38CC" w:rsidRDefault="005D196A" w14:paraId="10BDBC04" w14:textId="77777777">
      <w:pPr>
        <w:spacing w:after="160" w:line="256" w:lineRule="auto"/>
      </w:pPr>
    </w:p>
    <w:p w:rsidR="005D196A" w:rsidP="003F38CC" w:rsidRDefault="005D196A" w14:paraId="63BBBA86" w14:textId="77777777">
      <w:pPr>
        <w:spacing w:after="160" w:line="256" w:lineRule="auto"/>
      </w:pPr>
    </w:p>
    <w:p w:rsidR="005D196A" w:rsidP="4C874FED" w:rsidRDefault="005D196A" w14:paraId="721E78B9" w14:noSpellErr="1" w14:textId="62EE31FC">
      <w:pPr>
        <w:pStyle w:val="Normal"/>
        <w:spacing w:after="160" w:line="256" w:lineRule="auto"/>
      </w:pPr>
    </w:p>
    <w:tbl>
      <w:tblPr>
        <w:tblStyle w:val="TableGrid"/>
        <w:tblW w:w="0" w:type="auto"/>
        <w:tblInd w:w="0" w:type="dxa"/>
        <w:tblLook w:val="04A0" w:firstRow="1" w:lastRow="0" w:firstColumn="1" w:lastColumn="0" w:noHBand="0" w:noVBand="1"/>
      </w:tblPr>
      <w:tblGrid>
        <w:gridCol w:w="9016"/>
      </w:tblGrid>
      <w:tr w:rsidRPr="005D077B" w:rsidR="003F38CC" w:rsidTr="753FF73B" w14:paraId="423423D1"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3F38CC" w:rsidP="00E42E75" w:rsidRDefault="003F38CC" w14:paraId="2E6A61BC" w14:textId="29703A98">
            <w:pPr>
              <w:pStyle w:val="NoSpacing"/>
              <w:rPr>
                <w:b w:val="1"/>
                <w:bCs w:val="1"/>
                <w:sz w:val="24"/>
                <w:szCs w:val="24"/>
              </w:rPr>
            </w:pPr>
            <w:r w:rsidRPr="753FF73B" w:rsidR="3B73FFF9">
              <w:rPr>
                <w:b w:val="1"/>
                <w:bCs w:val="1"/>
                <w:color w:val="FFFFFF" w:themeColor="background1" w:themeTint="FF" w:themeShade="FF"/>
                <w:sz w:val="24"/>
                <w:szCs w:val="24"/>
              </w:rPr>
              <w:t>THEI</w:t>
            </w:r>
            <w:r w:rsidRPr="753FF73B" w:rsidR="003F38CC">
              <w:rPr>
                <w:b w:val="1"/>
                <w:bCs w:val="1"/>
                <w:color w:val="FFFFFF" w:themeColor="background1" w:themeTint="FF" w:themeShade="FF"/>
                <w:sz w:val="24"/>
                <w:szCs w:val="24"/>
              </w:rPr>
              <w:t xml:space="preserve">R ACHIEVEMENTS </w:t>
            </w:r>
          </w:p>
        </w:tc>
      </w:tr>
    </w:tbl>
    <w:p w:rsidR="003F38CC" w:rsidP="003F38CC" w:rsidRDefault="003F38CC" w14:paraId="654EDD71" w14:textId="77777777" w14:noSpellErr="1">
      <w:pPr>
        <w:spacing w:after="160" w:line="256" w:lineRule="auto"/>
        <w:rPr>
          <w:b w:val="1"/>
          <w:bCs w:val="1"/>
          <w:sz w:val="24"/>
          <w:szCs w:val="24"/>
        </w:rPr>
      </w:pPr>
      <w:r w:rsidRPr="005D077B" w:rsidR="003F38CC">
        <w:rPr>
          <w:b w:val="1"/>
          <w:bCs w:val="1"/>
          <w:sz w:val="24"/>
          <w:szCs w:val="24"/>
        </w:rPr>
        <w:t>List of notable achievements</w:t>
      </w:r>
      <w:r w:rsidR="003F38CC">
        <w:rPr>
          <w:b w:val="1"/>
          <w:bCs w:val="1"/>
          <w:sz w:val="24"/>
          <w:szCs w:val="24"/>
        </w:rPr>
        <w:t>:</w:t>
      </w:r>
    </w:p>
    <w:p w:rsidRPr="005D077B" w:rsidR="003F38CC" w:rsidP="003F38CC" w:rsidRDefault="003F38CC" w14:paraId="1D92340F" w14:textId="33A6409D">
      <w:pPr>
        <w:spacing w:after="160" w:line="256" w:lineRule="auto"/>
        <w:rPr>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4F489CDB" wp14:editId="03FC4A9E">
                <wp:extent xmlns:wp="http://schemas.openxmlformats.org/drawingml/2006/wordprocessingDrawing" cx="5690235" cy="3147695"/>
                <wp:effectExtent xmlns:wp="http://schemas.openxmlformats.org/drawingml/2006/wordprocessingDrawing" l="0" t="0" r="24765" b="14605"/>
                <wp:docPr xmlns:wp="http://schemas.openxmlformats.org/drawingml/2006/wordprocessingDrawing" id="185687064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235" cy="3147695"/>
                        </a:xfrm>
                        <a:prstGeom prst="rect">
                          <a:avLst/>
                        </a:prstGeom>
                        <a:solidFill>
                          <a:srgbClr val="FFFFFF"/>
                        </a:solidFill>
                        <a:ln w="9525">
                          <a:solidFill>
                            <a:srgbClr val="000000"/>
                          </a:solidFill>
                          <a:miter lim="800000"/>
                          <a:headEnd/>
                          <a:tailEnd/>
                        </a:ln>
                      </wps:spPr>
                      <wps:txbx>
                        <w:txbxContent xmlns:w="http://schemas.openxmlformats.org/wordprocessingml/2006/main">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p w:rsidR="000A0E4B" w:rsidP="003F38CC" w:rsidRDefault="000A0E4B"/>
                        </w:txbxContent>
                      </wps:txbx>
                      <wps:bodyPr rot="0" vert="horz" wrap="square" lIns="91440" tIns="45720" rIns="91440" bIns="45720" anchor="t" anchorCtr="0">
                        <a:noAutofit/>
                      </wps:bodyPr>
                    </wps:wsp>
                  </a:graphicData>
                </a:graphic>
              </wp:inline>
            </w:drawing>
          </mc:Choice>
          <mc:Fallback xmlns:a="http://schemas.openxmlformats.org/drawingml/2006/main" xmlns:mc="http://schemas.openxmlformats.org/markup-compatibility/2006"/>
        </mc:AlternateContent>
      </w:r>
    </w:p>
    <w:tbl>
      <w:tblPr>
        <w:tblStyle w:val="TableGrid"/>
        <w:tblW w:w="0" w:type="auto"/>
        <w:tblInd w:w="0" w:type="dxa"/>
        <w:tblLook w:val="04A0" w:firstRow="1" w:lastRow="0" w:firstColumn="1" w:lastColumn="0" w:noHBand="0" w:noVBand="1"/>
      </w:tblPr>
      <w:tblGrid>
        <w:gridCol w:w="9016"/>
      </w:tblGrid>
      <w:tr w:rsidRPr="00F90E10" w:rsidR="003F38CC" w:rsidTr="753FF73B" w14:paraId="1F428B09"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3F38CC" w:rsidP="00E42E75" w:rsidRDefault="003F38CC" w14:paraId="0CE3EE88" w14:textId="1CF5C415">
            <w:pPr>
              <w:pStyle w:val="NoSpacing"/>
              <w:rPr>
                <w:b w:val="1"/>
                <w:bCs w:val="1"/>
                <w:color w:val="FFFFFF" w:themeColor="background1"/>
                <w:sz w:val="24"/>
                <w:szCs w:val="24"/>
              </w:rPr>
            </w:pPr>
            <w:r w:rsidRPr="753FF73B" w:rsidR="003F38CC">
              <w:rPr>
                <w:b w:val="1"/>
                <w:bCs w:val="1"/>
                <w:color w:val="FFFFFF" w:themeColor="background1" w:themeTint="FF" w:themeShade="FF"/>
                <w:sz w:val="24"/>
                <w:szCs w:val="24"/>
              </w:rPr>
              <w:t xml:space="preserve">WHY </w:t>
            </w:r>
            <w:r w:rsidRPr="753FF73B" w:rsidR="49D9B4C7">
              <w:rPr>
                <w:b w:val="1"/>
                <w:bCs w:val="1"/>
                <w:color w:val="FFFFFF" w:themeColor="background1" w:themeTint="FF" w:themeShade="FF"/>
                <w:sz w:val="24"/>
                <w:szCs w:val="24"/>
              </w:rPr>
              <w:t>THEM</w:t>
            </w:r>
            <w:r w:rsidRPr="753FF73B" w:rsidR="003F38CC">
              <w:rPr>
                <w:b w:val="1"/>
                <w:bCs w:val="1"/>
                <w:color w:val="FFFFFF" w:themeColor="background1" w:themeTint="FF" w:themeShade="FF"/>
                <w:sz w:val="24"/>
                <w:szCs w:val="24"/>
              </w:rPr>
              <w:t xml:space="preserve">? </w:t>
            </w:r>
          </w:p>
        </w:tc>
      </w:tr>
    </w:tbl>
    <w:p w:rsidR="00107025" w:rsidP="005D196A" w:rsidRDefault="003F38CC" w14:paraId="6CE4D272" w14:textId="797C4DCE">
      <w:pPr>
        <w:pStyle w:val="CommentText"/>
        <w:rPr>
          <w:b w:val="1"/>
          <w:bCs w:val="1"/>
          <w:sz w:val="24"/>
          <w:szCs w:val="24"/>
        </w:rPr>
      </w:pPr>
      <w:r w:rsidRPr="753FF73B" w:rsidR="003F38CC">
        <w:rPr>
          <w:b w:val="1"/>
          <w:bCs w:val="1"/>
          <w:sz w:val="24"/>
          <w:szCs w:val="24"/>
        </w:rPr>
        <w:t xml:space="preserve">Why would you like </w:t>
      </w:r>
      <w:r w:rsidRPr="753FF73B" w:rsidR="1D64131A">
        <w:rPr>
          <w:b w:val="1"/>
          <w:bCs w:val="1"/>
          <w:sz w:val="24"/>
          <w:szCs w:val="24"/>
        </w:rPr>
        <w:t xml:space="preserve">them </w:t>
      </w:r>
      <w:r w:rsidRPr="753FF73B" w:rsidR="003F38CC">
        <w:rPr>
          <w:b w:val="1"/>
          <w:bCs w:val="1"/>
          <w:sz w:val="24"/>
          <w:szCs w:val="24"/>
        </w:rPr>
        <w:t>to be the 202</w:t>
      </w:r>
      <w:r w:rsidRPr="753FF73B" w:rsidR="00B25792">
        <w:rPr>
          <w:b w:val="1"/>
          <w:bCs w:val="1"/>
          <w:sz w:val="24"/>
          <w:szCs w:val="24"/>
        </w:rPr>
        <w:t>5</w:t>
      </w:r>
      <w:r w:rsidRPr="753FF73B" w:rsidR="003F38CC">
        <w:rPr>
          <w:b w:val="1"/>
          <w:bCs w:val="1"/>
          <w:sz w:val="24"/>
          <w:szCs w:val="24"/>
        </w:rPr>
        <w:t xml:space="preserve"> IWSC Wine Communicator?</w:t>
      </w:r>
    </w:p>
    <w:p w:rsidR="0F28A89D" w:rsidP="4C874FED" w:rsidRDefault="0F28A89D" w14:paraId="0796C0F4" w14:textId="109E41D1">
      <w:pPr>
        <w:rPr>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B0E42CC" wp14:editId="652DFDEA">
                <wp:extent xmlns:wp="http://schemas.openxmlformats.org/drawingml/2006/wordprocessingDrawing" cx="5690235" cy="2703195"/>
                <wp:effectExtent xmlns:wp="http://schemas.openxmlformats.org/drawingml/2006/wordprocessingDrawing" l="0" t="0" r="24765" b="20955"/>
                <wp:docPr xmlns:wp="http://schemas.openxmlformats.org/drawingml/2006/wordprocessingDrawing" id="4365795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235" cy="2703195"/>
                        </a:xfrm>
                        <a:prstGeom prst="rect">
                          <a:avLst/>
                        </a:prstGeom>
                        <a:solidFill>
                          <a:srgbClr val="FFFFFF"/>
                        </a:solidFill>
                        <a:ln w="9525">
                          <a:solidFill>
                            <a:srgbClr val="000000"/>
                          </a:solidFill>
                          <a:miter lim="800000"/>
                          <a:headEnd/>
                          <a:tailEnd/>
                        </a:ln>
                      </wps:spPr>
                      <wps:txbx>
                        <w:txbxContent xmlns:w="http://schemas.openxmlformats.org/wordprocessingml/2006/main">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p w:rsidR="007719AF" w:rsidP="003F38CC" w:rsidRDefault="007719AF"/>
                        </w:txbxContent>
                      </wps:txbx>
                      <wps:bodyPr rot="0" vert="horz" wrap="square" lIns="91440" tIns="45720" rIns="91440" bIns="45720" anchor="t" anchorCtr="0">
                        <a:noAutofit/>
                      </wps:bodyPr>
                    </wps:wsp>
                  </a:graphicData>
                </a:graphic>
              </wp:inline>
            </w:drawing>
          </mc:Choice>
          <mc:Fallback xmlns:a="http://schemas.openxmlformats.org/drawingml/2006/main" xmlns:mc="http://schemas.openxmlformats.org/markup-compatibility/2006"/>
        </mc:AlternateContent>
      </w:r>
    </w:p>
    <w:p w:rsidR="4C874FED" w:rsidRDefault="4C874FED" w14:paraId="7D184849" w14:textId="19AEF940"/>
    <w:p w:rsidR="00861016" w:rsidP="00861016" w:rsidRDefault="00861016" w14:paraId="7D217AC0" w14:textId="50046E8B">
      <w:pPr>
        <w:jc w:val="both"/>
        <w:rPr>
          <w:sz w:val="24"/>
          <w:szCs w:val="24"/>
        </w:rPr>
      </w:pPr>
      <w:r w:rsidRPr="4C874FED" w:rsidR="00861016">
        <w:rPr>
          <w:sz w:val="24"/>
          <w:szCs w:val="24"/>
        </w:rPr>
        <w:t xml:space="preserve">Please return this completed questionnaire to </w:t>
      </w:r>
      <w:hyperlink r:id="R15589a5213ed4041">
        <w:r w:rsidRPr="4C874FED" w:rsidR="00861016">
          <w:rPr>
            <w:rStyle w:val="Hyperlink"/>
            <w:sz w:val="24"/>
            <w:szCs w:val="24"/>
          </w:rPr>
          <w:t>community@iwsc.net</w:t>
        </w:r>
      </w:hyperlink>
      <w:r w:rsidRPr="4C874FED" w:rsidR="00861016">
        <w:rPr>
          <w:sz w:val="24"/>
          <w:szCs w:val="24"/>
        </w:rPr>
        <w:t xml:space="preserve"> </w:t>
      </w:r>
      <w:r w:rsidRPr="4C874FED" w:rsidR="00861016">
        <w:rPr>
          <w:sz w:val="24"/>
          <w:szCs w:val="24"/>
        </w:rPr>
        <w:t xml:space="preserve">by </w:t>
      </w:r>
      <w:r w:rsidRPr="4C874FED" w:rsidR="00861016">
        <w:rPr>
          <w:b w:val="1"/>
          <w:bCs w:val="1"/>
          <w:sz w:val="24"/>
          <w:szCs w:val="24"/>
        </w:rPr>
        <w:t>Friday 6</w:t>
      </w:r>
      <w:r w:rsidRPr="4C874FED" w:rsidR="46346238">
        <w:rPr>
          <w:b w:val="1"/>
          <w:bCs w:val="1"/>
          <w:sz w:val="24"/>
          <w:szCs w:val="24"/>
        </w:rPr>
        <w:t>5</w:t>
      </w:r>
      <w:r w:rsidRPr="4C874FED" w:rsidR="00861016">
        <w:rPr>
          <w:b w:val="1"/>
          <w:bCs w:val="1"/>
          <w:sz w:val="24"/>
          <w:szCs w:val="24"/>
          <w:vertAlign w:val="superscript"/>
        </w:rPr>
        <w:t>h</w:t>
      </w:r>
      <w:r w:rsidRPr="4C874FED" w:rsidR="00861016">
        <w:rPr>
          <w:b w:val="1"/>
          <w:bCs w:val="1"/>
          <w:sz w:val="24"/>
          <w:szCs w:val="24"/>
        </w:rPr>
        <w:t xml:space="preserve"> September 202</w:t>
      </w:r>
      <w:r w:rsidRPr="4C874FED" w:rsidR="3670E25A">
        <w:rPr>
          <w:b w:val="1"/>
          <w:bCs w:val="1"/>
          <w:sz w:val="24"/>
          <w:szCs w:val="24"/>
        </w:rPr>
        <w:t>5</w:t>
      </w:r>
      <w:r w:rsidRPr="4C874FED" w:rsidR="00861016">
        <w:rPr>
          <w:b w:val="1"/>
          <w:bCs w:val="1"/>
          <w:sz w:val="24"/>
          <w:szCs w:val="24"/>
        </w:rPr>
        <w:t>.</w:t>
      </w:r>
    </w:p>
    <w:p w:rsidRPr="00E205E5" w:rsidR="00861016" w:rsidP="00861016" w:rsidRDefault="00861016" w14:paraId="098D5DBB" w14:textId="77777777">
      <w:pPr>
        <w:rPr>
          <w:b/>
          <w:bCs/>
          <w:sz w:val="24"/>
          <w:szCs w:val="24"/>
        </w:rPr>
      </w:pPr>
      <w:r w:rsidRPr="00E205E5">
        <w:rPr>
          <w:b/>
          <w:bCs/>
          <w:sz w:val="24"/>
          <w:szCs w:val="24"/>
        </w:rPr>
        <w:t xml:space="preserve">About </w:t>
      </w:r>
      <w:proofErr w:type="spellStart"/>
      <w:r w:rsidRPr="00E205E5">
        <w:rPr>
          <w:b/>
          <w:bCs/>
          <w:sz w:val="24"/>
          <w:szCs w:val="24"/>
        </w:rPr>
        <w:t>Vinitaly</w:t>
      </w:r>
      <w:proofErr w:type="spellEnd"/>
    </w:p>
    <w:p w:rsidRPr="00E205E5" w:rsidR="00861016" w:rsidP="00861016" w:rsidRDefault="00E42E75" w14:paraId="0F517D8B" w14:textId="5962EDB4">
      <w:pPr>
        <w:rPr>
          <w:sz w:val="24"/>
          <w:szCs w:val="24"/>
        </w:rPr>
      </w:pPr>
      <w:hyperlink w:history="1" r:id="rId16">
        <w:proofErr w:type="spellStart"/>
        <w:r w:rsidRPr="00E42E75" w:rsidR="00861016">
          <w:rPr>
            <w:rStyle w:val="Hyperlink"/>
            <w:sz w:val="24"/>
            <w:szCs w:val="24"/>
          </w:rPr>
          <w:t>Vinitaly</w:t>
        </w:r>
        <w:proofErr w:type="spellEnd"/>
      </w:hyperlink>
      <w:r w:rsidRPr="00E205E5" w:rsidR="00861016">
        <w:rPr>
          <w:sz w:val="24"/>
          <w:szCs w:val="24"/>
        </w:rPr>
        <w:t xml:space="preserve"> has supported wine industry producers since 1967, making an active contribution to the growth of the wine system by creating business opportunities in Italy and around the world, as well as promoting occasions for networking between winemakers and sector professionals. </w:t>
      </w:r>
    </w:p>
    <w:p w:rsidRPr="00E42E75" w:rsidR="00861016" w:rsidP="00861016" w:rsidRDefault="00861016" w14:paraId="635144A6" w14:textId="669CAE6C">
      <w:pPr>
        <w:rPr>
          <w:sz w:val="24"/>
          <w:szCs w:val="24"/>
        </w:rPr>
      </w:pPr>
      <w:proofErr w:type="spellStart"/>
      <w:r w:rsidRPr="00E205E5">
        <w:rPr>
          <w:sz w:val="24"/>
          <w:szCs w:val="24"/>
        </w:rPr>
        <w:t>Vinitaly</w:t>
      </w:r>
      <w:proofErr w:type="spellEnd"/>
      <w:r w:rsidRPr="00E205E5">
        <w:rPr>
          <w:sz w:val="24"/>
          <w:szCs w:val="24"/>
        </w:rPr>
        <w:t xml:space="preserve"> promotes wine culture 365 days a year through qualified training courses as well as events across the globe. Its biggest annual event is hosted each April in Verona City and comprises 400 events over 4 days, including theme-based pavilions, B2B meetings, guided tastings, walk-around tastings, focus analysis of the main markets, conferences and gala dinners. </w:t>
      </w:r>
    </w:p>
    <w:p w:rsidRPr="00861016" w:rsidR="00861016" w:rsidP="00861016" w:rsidRDefault="00861016" w14:paraId="48008C21" w14:textId="77777777"/>
    <w:p w:rsidRPr="00861016" w:rsidR="00861016" w:rsidP="00861016" w:rsidRDefault="00861016" w14:paraId="79A33545" w14:textId="77777777"/>
    <w:p w:rsidRPr="00861016" w:rsidR="00861016" w:rsidP="00861016" w:rsidRDefault="00861016" w14:paraId="71E43647" w14:textId="77777777"/>
    <w:p w:rsidRPr="00861016" w:rsidR="00861016" w:rsidP="00861016" w:rsidRDefault="00861016" w14:paraId="270A852E" w14:textId="77777777"/>
    <w:p w:rsidRPr="00861016" w:rsidR="00861016" w:rsidP="00861016" w:rsidRDefault="00861016" w14:paraId="05460DCA" w14:textId="77777777"/>
    <w:p w:rsidRPr="00861016" w:rsidR="00861016" w:rsidP="00861016" w:rsidRDefault="00861016" w14:paraId="668F94FC" w14:textId="77777777"/>
    <w:p w:rsidRPr="00861016" w:rsidR="00861016" w:rsidP="00861016" w:rsidRDefault="00861016" w14:paraId="7424D51D" w14:textId="77777777"/>
    <w:p w:rsidRPr="00861016" w:rsidR="00861016" w:rsidP="00861016" w:rsidRDefault="00861016" w14:paraId="514212F1" w14:textId="77777777"/>
    <w:sectPr w:rsidRPr="00861016" w:rsidR="00861016">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7704" w:rsidP="003F38CC" w:rsidRDefault="00AA7704" w14:paraId="0C905DCD" w14:textId="77777777">
      <w:pPr>
        <w:spacing w:after="0" w:line="240" w:lineRule="auto"/>
      </w:pPr>
      <w:r>
        <w:separator/>
      </w:r>
    </w:p>
  </w:endnote>
  <w:endnote w:type="continuationSeparator" w:id="0">
    <w:p w:rsidR="00AA7704" w:rsidP="003F38CC" w:rsidRDefault="00AA7704" w14:paraId="4295CC08" w14:textId="77777777">
      <w:pPr>
        <w:spacing w:after="0" w:line="240" w:lineRule="auto"/>
      </w:pPr>
      <w:r>
        <w:continuationSeparator/>
      </w:r>
    </w:p>
  </w:endnote>
  <w:endnote w:type="continuationNotice" w:id="1">
    <w:p w:rsidR="00AA7704" w:rsidRDefault="00AA7704" w14:paraId="1AD45B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0D8628C" w:rsidTr="40D8628C" w14:paraId="203C35AB" w14:textId="77777777">
      <w:trPr>
        <w:trHeight w:val="300"/>
      </w:trPr>
      <w:tc>
        <w:tcPr>
          <w:tcW w:w="3005" w:type="dxa"/>
        </w:tcPr>
        <w:p w:rsidR="40D8628C" w:rsidP="40D8628C" w:rsidRDefault="40D8628C" w14:paraId="42441CCE" w14:textId="61441406">
          <w:pPr>
            <w:pStyle w:val="Header"/>
            <w:ind w:left="-115"/>
          </w:pPr>
        </w:p>
      </w:tc>
      <w:tc>
        <w:tcPr>
          <w:tcW w:w="3005" w:type="dxa"/>
        </w:tcPr>
        <w:p w:rsidR="40D8628C" w:rsidP="40D8628C" w:rsidRDefault="40D8628C" w14:paraId="33137ABB" w14:textId="7FFA2E86">
          <w:pPr>
            <w:pStyle w:val="Header"/>
            <w:jc w:val="center"/>
          </w:pPr>
        </w:p>
      </w:tc>
      <w:tc>
        <w:tcPr>
          <w:tcW w:w="3005" w:type="dxa"/>
        </w:tcPr>
        <w:p w:rsidR="40D8628C" w:rsidP="40D8628C" w:rsidRDefault="40D8628C" w14:paraId="127F99EE" w14:textId="0407A61A">
          <w:pPr>
            <w:pStyle w:val="Header"/>
            <w:ind w:right="-115"/>
            <w:jc w:val="right"/>
          </w:pPr>
        </w:p>
      </w:tc>
    </w:tr>
  </w:tbl>
  <w:p w:rsidR="00B116BE" w:rsidRDefault="00B116BE" w14:paraId="0EC413D8" w14:textId="6B1E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7704" w:rsidP="003F38CC" w:rsidRDefault="00AA7704" w14:paraId="0ADB7F2E" w14:textId="77777777">
      <w:pPr>
        <w:spacing w:after="0" w:line="240" w:lineRule="auto"/>
      </w:pPr>
      <w:r>
        <w:separator/>
      </w:r>
    </w:p>
  </w:footnote>
  <w:footnote w:type="continuationSeparator" w:id="0">
    <w:p w:rsidR="00AA7704" w:rsidP="003F38CC" w:rsidRDefault="00AA7704" w14:paraId="2CBC7F0B" w14:textId="77777777">
      <w:pPr>
        <w:spacing w:after="0" w:line="240" w:lineRule="auto"/>
      </w:pPr>
      <w:r>
        <w:continuationSeparator/>
      </w:r>
    </w:p>
  </w:footnote>
  <w:footnote w:type="continuationNotice" w:id="1">
    <w:p w:rsidR="00AA7704" w:rsidRDefault="00AA7704" w14:paraId="1F810F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14E28" w:rsidP="4C874FED" w:rsidRDefault="00B25792" w14:paraId="7FBDB89F" w14:noSpellErr="1" w14:textId="3AD1F38E">
    <w:pPr>
      <w:pStyle w:val="Header"/>
      <w:jc w:val="right"/>
      <w:rPr>
        <w:sz w:val="24"/>
        <w:szCs w:val="24"/>
      </w:rPr>
    </w:pPr>
    <w:r>
      <w:rPr>
        <w:noProof/>
      </w:rPr>
      <w:drawing>
        <wp:anchor distT="0" distB="0" distL="114300" distR="114300" simplePos="0" relativeHeight="251658240" behindDoc="1" locked="0" layoutInCell="1" allowOverlap="1" wp14:anchorId="07E64D54" wp14:editId="62F217C6">
          <wp:simplePos x="0" y="0"/>
          <wp:positionH relativeFrom="column">
            <wp:posOffset>3278505</wp:posOffset>
          </wp:positionH>
          <wp:positionV relativeFrom="paragraph">
            <wp:posOffset>-301307</wp:posOffset>
          </wp:positionV>
          <wp:extent cx="2480945" cy="799465"/>
          <wp:effectExtent l="0" t="0" r="0" b="635"/>
          <wp:wrapTight wrapText="bothSides">
            <wp:wrapPolygon edited="0">
              <wp:start x="0" y="0"/>
              <wp:lineTo x="0" y="21102"/>
              <wp:lineTo x="21395" y="21102"/>
              <wp:lineTo x="21395"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0945" cy="799465"/>
                  </a:xfrm>
                  <a:prstGeom prst="rect">
                    <a:avLst/>
                  </a:prstGeom>
                </pic:spPr>
              </pic:pic>
            </a:graphicData>
          </a:graphic>
          <wp14:sizeRelH relativeFrom="page">
            <wp14:pctWidth>0</wp14:pctWidth>
          </wp14:sizeRelH>
          <wp14:sizeRelV relativeFrom="page">
            <wp14:pctHeight>0</wp14:pctHeight>
          </wp14:sizeRelV>
        </wp:anchor>
      </w:drawing>
    </w:r>
    <w:r w:rsidR="4C874FED">
      <w:drawing>
        <wp:inline wp14:editId="18D83B2E" wp14:anchorId="35EBED2E">
          <wp:extent cx="1819275" cy="853440"/>
          <wp:effectExtent l="0" t="0" r="9525" b="3810"/>
          <wp:docPr id="1450392838" name="Picture 1" descr="A picture containing font, graphics, logo, tex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99007160" name="Picture 1" descr="A picture containing font, graphics, logo, text&#10;&#10;Description automatically generated"/>
                  <pic:cNvPicPr/>
                </pic:nvPicPr>
                <pic:blipFill>
                  <a:blip xmlns:r="http://schemas.openxmlformats.org/officeDocument/2006/relationships" r:embed="rId10">
                    <a:extLst>
                      <a:ext uri="{28A0092B-C50C-407E-A947-70E740481C1C}">
                        <a14:useLocalDpi xmlns:a14="http://schemas.microsoft.com/office/drawing/2010/main" val="0"/>
                      </a:ext>
                    </a:extLst>
                  </a:blip>
                  <a:stretch>
                    <a:fillRect/>
                  </a:stretch>
                </pic:blipFill>
                <pic:spPr>
                  <a:xfrm>
                    <a:off x="0" y="0"/>
                    <a:ext cx="1819275" cy="853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27caa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b40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CC"/>
    <w:rsid w:val="000F2DA0"/>
    <w:rsid w:val="00107025"/>
    <w:rsid w:val="00261DA9"/>
    <w:rsid w:val="00283342"/>
    <w:rsid w:val="0029058A"/>
    <w:rsid w:val="002E3650"/>
    <w:rsid w:val="002F7164"/>
    <w:rsid w:val="00314E28"/>
    <w:rsid w:val="00322C5D"/>
    <w:rsid w:val="003367B8"/>
    <w:rsid w:val="00387B5B"/>
    <w:rsid w:val="003C48BF"/>
    <w:rsid w:val="003F38CC"/>
    <w:rsid w:val="00402824"/>
    <w:rsid w:val="00403E5A"/>
    <w:rsid w:val="004433D2"/>
    <w:rsid w:val="00447655"/>
    <w:rsid w:val="00506143"/>
    <w:rsid w:val="005D196A"/>
    <w:rsid w:val="00617677"/>
    <w:rsid w:val="0071548E"/>
    <w:rsid w:val="007434E8"/>
    <w:rsid w:val="0075581E"/>
    <w:rsid w:val="00771581"/>
    <w:rsid w:val="007756D4"/>
    <w:rsid w:val="007778C3"/>
    <w:rsid w:val="00805091"/>
    <w:rsid w:val="00860823"/>
    <w:rsid w:val="00861016"/>
    <w:rsid w:val="008A06CD"/>
    <w:rsid w:val="009A3CBE"/>
    <w:rsid w:val="009C3A8D"/>
    <w:rsid w:val="00A86C9C"/>
    <w:rsid w:val="00AA5566"/>
    <w:rsid w:val="00AA7704"/>
    <w:rsid w:val="00AD3DB1"/>
    <w:rsid w:val="00B109C1"/>
    <w:rsid w:val="00B116BE"/>
    <w:rsid w:val="00B25792"/>
    <w:rsid w:val="00B468B6"/>
    <w:rsid w:val="00B51F56"/>
    <w:rsid w:val="00B656D3"/>
    <w:rsid w:val="00BA7603"/>
    <w:rsid w:val="00C43142"/>
    <w:rsid w:val="00C76F0E"/>
    <w:rsid w:val="00CD1574"/>
    <w:rsid w:val="00D1612F"/>
    <w:rsid w:val="00D226FA"/>
    <w:rsid w:val="00D35512"/>
    <w:rsid w:val="00D62449"/>
    <w:rsid w:val="00E027D8"/>
    <w:rsid w:val="00E42E75"/>
    <w:rsid w:val="00E95597"/>
    <w:rsid w:val="00EC2539"/>
    <w:rsid w:val="00EE03F9"/>
    <w:rsid w:val="00F3639E"/>
    <w:rsid w:val="00F70F3F"/>
    <w:rsid w:val="00FA703B"/>
    <w:rsid w:val="00FF08AB"/>
    <w:rsid w:val="00FF55AE"/>
    <w:rsid w:val="072F28AF"/>
    <w:rsid w:val="0A9A7254"/>
    <w:rsid w:val="0F28A89D"/>
    <w:rsid w:val="115BFA2F"/>
    <w:rsid w:val="14DAD79A"/>
    <w:rsid w:val="1D64131A"/>
    <w:rsid w:val="260FE4BA"/>
    <w:rsid w:val="269CD9B7"/>
    <w:rsid w:val="27517630"/>
    <w:rsid w:val="2871C86B"/>
    <w:rsid w:val="31EF4AAB"/>
    <w:rsid w:val="34694FF6"/>
    <w:rsid w:val="350045FD"/>
    <w:rsid w:val="35D01D2B"/>
    <w:rsid w:val="3670E25A"/>
    <w:rsid w:val="3B73FFF9"/>
    <w:rsid w:val="40D8628C"/>
    <w:rsid w:val="46346238"/>
    <w:rsid w:val="48B7DFED"/>
    <w:rsid w:val="49D9B4C7"/>
    <w:rsid w:val="49F8EA27"/>
    <w:rsid w:val="4C874FED"/>
    <w:rsid w:val="4D242FA7"/>
    <w:rsid w:val="55EB4B51"/>
    <w:rsid w:val="5638CC5E"/>
    <w:rsid w:val="579C9483"/>
    <w:rsid w:val="5A87D548"/>
    <w:rsid w:val="5B3CD908"/>
    <w:rsid w:val="5FCFA9EC"/>
    <w:rsid w:val="63855550"/>
    <w:rsid w:val="68D77CE8"/>
    <w:rsid w:val="6A4669F4"/>
    <w:rsid w:val="6DDFA438"/>
    <w:rsid w:val="729F8828"/>
    <w:rsid w:val="73254375"/>
    <w:rsid w:val="7352C03E"/>
    <w:rsid w:val="75163944"/>
    <w:rsid w:val="753FF73B"/>
    <w:rsid w:val="7D65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EF9C2"/>
  <w15:chartTrackingRefBased/>
  <w15:docId w15:val="{C331FDA5-8FD3-4DB9-A253-26A128BB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38CC"/>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F38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38CC"/>
    <w:rPr>
      <w:kern w:val="0"/>
      <w14:ligatures w14:val="none"/>
    </w:rPr>
  </w:style>
  <w:style w:type="character" w:styleId="Hyperlink">
    <w:name w:val="Hyperlink"/>
    <w:basedOn w:val="DefaultParagraphFont"/>
    <w:uiPriority w:val="99"/>
    <w:unhideWhenUsed/>
    <w:rsid w:val="003F38CC"/>
    <w:rPr>
      <w:color w:val="0563C1" w:themeColor="hyperlink"/>
      <w:u w:val="single"/>
    </w:rPr>
  </w:style>
  <w:style w:type="paragraph" w:styleId="CommentText">
    <w:name w:val="annotation text"/>
    <w:basedOn w:val="Normal"/>
    <w:link w:val="CommentTextChar"/>
    <w:uiPriority w:val="99"/>
    <w:unhideWhenUsed/>
    <w:rsid w:val="003F38CC"/>
    <w:pPr>
      <w:spacing w:line="240" w:lineRule="auto"/>
    </w:pPr>
    <w:rPr>
      <w:sz w:val="20"/>
      <w:szCs w:val="20"/>
    </w:rPr>
  </w:style>
  <w:style w:type="character" w:styleId="CommentTextChar" w:customStyle="1">
    <w:name w:val="Comment Text Char"/>
    <w:basedOn w:val="DefaultParagraphFont"/>
    <w:link w:val="CommentText"/>
    <w:uiPriority w:val="99"/>
    <w:rsid w:val="003F38CC"/>
    <w:rPr>
      <w:kern w:val="0"/>
      <w:sz w:val="20"/>
      <w:szCs w:val="20"/>
      <w14:ligatures w14:val="none"/>
    </w:rPr>
  </w:style>
  <w:style w:type="paragraph" w:styleId="NoSpacing">
    <w:name w:val="No Spacing"/>
    <w:uiPriority w:val="1"/>
    <w:qFormat/>
    <w:rsid w:val="003F38CC"/>
    <w:pPr>
      <w:spacing w:after="0" w:line="240" w:lineRule="auto"/>
    </w:pPr>
    <w:rPr>
      <w:rFonts w:ascii="Calibri" w:hAnsi="Calibri" w:eastAsia="Calibri" w:cs="Calibri"/>
      <w:kern w:val="0"/>
      <w14:ligatures w14:val="none"/>
    </w:rPr>
  </w:style>
  <w:style w:type="table" w:styleId="TableGrid">
    <w:name w:val="Table Grid"/>
    <w:basedOn w:val="TableNormal"/>
    <w:uiPriority w:val="39"/>
    <w:rsid w:val="003F38CC"/>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3F38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38CC"/>
    <w:rPr>
      <w:kern w:val="0"/>
      <w14:ligatures w14:val="none"/>
    </w:rPr>
  </w:style>
  <w:style w:type="character" w:styleId="UnresolvedMention">
    <w:name w:val="Unresolved Mention"/>
    <w:basedOn w:val="DefaultParagraphFont"/>
    <w:uiPriority w:val="99"/>
    <w:semiHidden/>
    <w:unhideWhenUsed/>
    <w:rsid w:val="003F38CC"/>
    <w:rPr>
      <w:color w:val="605E5C"/>
      <w:shd w:val="clear" w:color="auto" w:fill="E1DFDD"/>
    </w:rPr>
  </w:style>
  <w:style w:type="character" w:styleId="FollowedHyperlink">
    <w:name w:val="FollowedHyperlink"/>
    <w:basedOn w:val="DefaultParagraphFont"/>
    <w:uiPriority w:val="99"/>
    <w:semiHidden/>
    <w:unhideWhenUsed/>
    <w:rsid w:val="00B116BE"/>
    <w:rPr>
      <w:color w:val="954F72" w:themeColor="followedHyperlink"/>
      <w:u w:val="single"/>
    </w:rPr>
  </w:style>
  <w:style w:type="paragraph" w:styleId="ListParagraph">
    <w:uiPriority w:val="34"/>
    <w:name w:val="List Paragraph"/>
    <w:basedOn w:val="Normal"/>
    <w:qFormat/>
    <w:rsid w:val="4C874FE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vinitaly.com/e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wsc.net/awards-ceremony" TargetMode="External" Id="R6ec3eea7153b4d9f" /><Relationship Type="http://schemas.openxmlformats.org/officeDocument/2006/relationships/hyperlink" Target="http://cluboenologique.com/" TargetMode="External" Id="R400b1782f3514ad1" /><Relationship Type="http://schemas.openxmlformats.org/officeDocument/2006/relationships/hyperlink" Target="mailto:community@iwsc.net" TargetMode="External" Id="Rd55e1355bb04433d" /><Relationship Type="http://schemas.openxmlformats.org/officeDocument/2006/relationships/hyperlink" Target="mailto:community@iwsc.net" TargetMode="External" Id="R15589a5213ed4041" /><Relationship Type="http://schemas.openxmlformats.org/officeDocument/2006/relationships/hyperlink" Target="https://www.vinitaly.com/en/" TargetMode="External" Id="R5f69e6e7138542d5"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media/image2.png" Id="rId1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44764-0420-474C-8F7B-953B7312016C}">
  <ds:schemaRefs>
    <ds:schemaRef ds:uri="http://schemas.microsoft.com/sharepoint/v3/contenttype/forms"/>
  </ds:schemaRefs>
</ds:datastoreItem>
</file>

<file path=customXml/itemProps2.xml><?xml version="1.0" encoding="utf-8"?>
<ds:datastoreItem xmlns:ds="http://schemas.openxmlformats.org/officeDocument/2006/customXml" ds:itemID="{5BBF109F-AC6C-4BA4-9F1C-AA1A0FA42C43}">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3.xml><?xml version="1.0" encoding="utf-8"?>
<ds:datastoreItem xmlns:ds="http://schemas.openxmlformats.org/officeDocument/2006/customXml" ds:itemID="{6FD54CE2-F29B-4C91-9EF7-15F90AE3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Zoe Cunliffe</cp:lastModifiedBy>
  <cp:revision>16</cp:revision>
  <dcterms:created xsi:type="dcterms:W3CDTF">2024-07-01T22:39:00Z</dcterms:created>
  <dcterms:modified xsi:type="dcterms:W3CDTF">2025-07-18T11:39:46Z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0x010100257944060C24594EB0D503778D0C166B</vt:lpwstr>
  </property>
  <property fmtid="{D5CDD505-2E9C-101B-9397-08002B2CF9AE}" pid="4" name="GrammarlyDocumentId">
    <vt:lpwstr>9b71297a447f4504e2f8f627a039890793662bddbbf01433aa81f0079b10fca5</vt:lpwstr>
  </property>
</Properties>
</file>